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06" w:rsidRPr="00104862" w:rsidRDefault="00605106" w:rsidP="002D38F2">
      <w:pPr>
        <w:spacing w:after="0" w:line="240" w:lineRule="auto"/>
        <w:rPr>
          <w:b/>
        </w:rPr>
      </w:pPr>
      <w:r w:rsidRPr="00104862">
        <w:rPr>
          <w:b/>
        </w:rPr>
        <w:t xml:space="preserve">Clinical characteristics of Rheumatoid Arthritis patients with secondary </w:t>
      </w:r>
      <w:proofErr w:type="spellStart"/>
      <w:r w:rsidRPr="00104862">
        <w:rPr>
          <w:b/>
        </w:rPr>
        <w:t>Sjögren’s</w:t>
      </w:r>
      <w:proofErr w:type="spellEnd"/>
      <w:r w:rsidRPr="00104862">
        <w:rPr>
          <w:b/>
        </w:rPr>
        <w:t xml:space="preserve"> Syndrome and association with joint damage</w:t>
      </w:r>
    </w:p>
    <w:p w:rsidR="00605106" w:rsidRDefault="00605106" w:rsidP="002D38F2">
      <w:pPr>
        <w:spacing w:after="0" w:line="240" w:lineRule="auto"/>
      </w:pPr>
    </w:p>
    <w:p w:rsidR="00605106" w:rsidRDefault="00605106" w:rsidP="002D38F2">
      <w:pPr>
        <w:spacing w:after="0" w:line="240" w:lineRule="auto"/>
      </w:pPr>
      <w:r>
        <w:t>Lindsay E. Brown</w:t>
      </w:r>
      <w:r w:rsidR="00AD71D3">
        <w:t>, MD</w:t>
      </w:r>
      <w:r>
        <w:t>, Michelle Frits,</w:t>
      </w:r>
      <w:r w:rsidR="00A8787D">
        <w:t xml:space="preserve"> MS</w:t>
      </w:r>
      <w:r w:rsidR="00AD71D3">
        <w:t>,</w:t>
      </w:r>
      <w:r>
        <w:t xml:space="preserve"> Christine Iannaccone,</w:t>
      </w:r>
      <w:r w:rsidR="00AD71D3">
        <w:t xml:space="preserve"> MPH,</w:t>
      </w:r>
      <w:r>
        <w:t xml:space="preserve"> Michael E. Weinblatt,</w:t>
      </w:r>
      <w:r w:rsidR="00AD71D3">
        <w:t xml:space="preserve"> MD,</w:t>
      </w:r>
      <w:r>
        <w:t xml:space="preserve"> Nancy Shadick,</w:t>
      </w:r>
      <w:r w:rsidR="00AD71D3">
        <w:t xml:space="preserve"> MD, MPH,</w:t>
      </w:r>
      <w:r>
        <w:t xml:space="preserve"> Katherine P. Liao</w:t>
      </w:r>
      <w:r w:rsidR="00AD71D3">
        <w:t>, MD, MPH</w:t>
      </w:r>
    </w:p>
    <w:p w:rsidR="00605106" w:rsidRDefault="00605106" w:rsidP="002D38F2">
      <w:pPr>
        <w:spacing w:after="0" w:line="240" w:lineRule="auto"/>
      </w:pPr>
    </w:p>
    <w:p w:rsidR="00605106" w:rsidRPr="00104862" w:rsidRDefault="00605106" w:rsidP="002D38F2">
      <w:pPr>
        <w:spacing w:after="0" w:line="240" w:lineRule="auto"/>
        <w:rPr>
          <w:b/>
        </w:rPr>
      </w:pPr>
      <w:r w:rsidRPr="00104862">
        <w:rPr>
          <w:b/>
        </w:rPr>
        <w:t xml:space="preserve">Background:  </w:t>
      </w:r>
    </w:p>
    <w:p w:rsidR="00605106" w:rsidRDefault="00605106" w:rsidP="002D38F2">
      <w:pPr>
        <w:spacing w:after="0" w:line="240" w:lineRule="auto"/>
      </w:pPr>
      <w:r>
        <w:t xml:space="preserve">Secondary </w:t>
      </w:r>
      <w:proofErr w:type="spellStart"/>
      <w:r>
        <w:t>Sjögren’s</w:t>
      </w:r>
      <w:proofErr w:type="spellEnd"/>
      <w:r>
        <w:t xml:space="preserve"> syndrome (</w:t>
      </w:r>
      <w:proofErr w:type="spellStart"/>
      <w:r>
        <w:t>sSS</w:t>
      </w:r>
      <w:proofErr w:type="spellEnd"/>
      <w:r>
        <w:t xml:space="preserve">) is a common extra-articular manifestation of Rheumatoid Arthritis (RA) with a prevalence ranging </w:t>
      </w:r>
      <w:r w:rsidRPr="00714BE7">
        <w:t>from 7 to 50 percent.</w:t>
      </w:r>
      <w:r>
        <w:t xml:space="preserve">  However, the clinical characteristics of this subgroup of patients are </w:t>
      </w:r>
      <w:r w:rsidR="00104862">
        <w:t>poorly</w:t>
      </w:r>
      <w:r>
        <w:t xml:space="preserve"> well characterized.  In addition, whether </w:t>
      </w:r>
      <w:proofErr w:type="spellStart"/>
      <w:r>
        <w:t>sSS</w:t>
      </w:r>
      <w:proofErr w:type="spellEnd"/>
      <w:r>
        <w:t xml:space="preserve"> is associated with worse outcomes such as joint damage remains unclear.  This study aims to characterize </w:t>
      </w:r>
      <w:proofErr w:type="spellStart"/>
      <w:r>
        <w:t>sSS</w:t>
      </w:r>
      <w:proofErr w:type="spellEnd"/>
      <w:r>
        <w:t xml:space="preserve"> patients in an RA cohort</w:t>
      </w:r>
      <w:r w:rsidR="00AD71D3">
        <w:t xml:space="preserve"> and determine whether there is an association between </w:t>
      </w:r>
      <w:proofErr w:type="spellStart"/>
      <w:r w:rsidR="00AD71D3">
        <w:t>sSS</w:t>
      </w:r>
      <w:proofErr w:type="spellEnd"/>
      <w:r w:rsidR="00AD71D3">
        <w:t xml:space="preserve"> and worse joint damage.</w:t>
      </w:r>
    </w:p>
    <w:p w:rsidR="00605106" w:rsidRDefault="00605106" w:rsidP="002D38F2">
      <w:pPr>
        <w:spacing w:after="0" w:line="240" w:lineRule="auto"/>
      </w:pPr>
    </w:p>
    <w:p w:rsidR="00605106" w:rsidRPr="00104862" w:rsidRDefault="00605106" w:rsidP="002D38F2">
      <w:pPr>
        <w:spacing w:after="0" w:line="240" w:lineRule="auto"/>
        <w:rPr>
          <w:b/>
        </w:rPr>
      </w:pPr>
      <w:r w:rsidRPr="00104862">
        <w:rPr>
          <w:b/>
        </w:rPr>
        <w:t>Methods:</w:t>
      </w:r>
    </w:p>
    <w:p w:rsidR="00605106" w:rsidRPr="00707A07" w:rsidRDefault="00605106" w:rsidP="002D38F2">
      <w:pPr>
        <w:spacing w:after="0" w:line="240" w:lineRule="auto"/>
        <w:rPr>
          <w:rFonts w:cs="Calibri"/>
        </w:rPr>
      </w:pPr>
      <w:r w:rsidRPr="00707A07">
        <w:rPr>
          <w:rFonts w:cs="Calibri"/>
        </w:rPr>
        <w:t xml:space="preserve">We conducted a cross-sectional study in an observational cohort of RA patients at a large academic center.  We included all subjects with &gt;=1 year of follow-up.  Subjects were considered to have </w:t>
      </w:r>
      <w:proofErr w:type="spellStart"/>
      <w:r w:rsidRPr="00707A07">
        <w:rPr>
          <w:rFonts w:cs="Calibri"/>
        </w:rPr>
        <w:t>sSS</w:t>
      </w:r>
      <w:proofErr w:type="spellEnd"/>
      <w:r w:rsidRPr="00707A07">
        <w:rPr>
          <w:rFonts w:cs="Calibri"/>
        </w:rPr>
        <w:t xml:space="preserve"> if they were reported as having </w:t>
      </w:r>
      <w:proofErr w:type="spellStart"/>
      <w:r w:rsidRPr="00707A07">
        <w:rPr>
          <w:rFonts w:cs="Calibri"/>
        </w:rPr>
        <w:t>sSS</w:t>
      </w:r>
      <w:proofErr w:type="spellEnd"/>
      <w:r w:rsidRPr="00707A07">
        <w:rPr>
          <w:rFonts w:cs="Calibri"/>
        </w:rPr>
        <w:t xml:space="preserve"> by their rheumatologist at recruitment into the cohort (baseline) and </w:t>
      </w:r>
      <w:r>
        <w:rPr>
          <w:rFonts w:cs="Calibri"/>
        </w:rPr>
        <w:t>had</w:t>
      </w:r>
      <w:r w:rsidRPr="00707A07">
        <w:rPr>
          <w:rFonts w:cs="Calibri"/>
        </w:rPr>
        <w:t xml:space="preserve"> </w:t>
      </w:r>
      <w:r>
        <w:rPr>
          <w:rFonts w:cs="Calibri"/>
        </w:rPr>
        <w:t xml:space="preserve">the </w:t>
      </w:r>
      <w:r w:rsidRPr="00707A07">
        <w:rPr>
          <w:rFonts w:cs="Calibri"/>
        </w:rPr>
        <w:t>diagnosis</w:t>
      </w:r>
      <w:r>
        <w:rPr>
          <w:rFonts w:cs="Calibri"/>
        </w:rPr>
        <w:t xml:space="preserve"> confirmed by chart review</w:t>
      </w:r>
      <w:r w:rsidRPr="00707A07">
        <w:rPr>
          <w:rFonts w:cs="Calibri"/>
        </w:rPr>
        <w:t xml:space="preserve">.  Fifty subjects without </w:t>
      </w:r>
      <w:proofErr w:type="spellStart"/>
      <w:r w:rsidRPr="00707A07">
        <w:rPr>
          <w:rFonts w:cs="Calibri"/>
        </w:rPr>
        <w:t>sSS</w:t>
      </w:r>
      <w:proofErr w:type="spellEnd"/>
      <w:r w:rsidRPr="00707A07">
        <w:rPr>
          <w:rFonts w:cs="Calibri"/>
        </w:rPr>
        <w:t xml:space="preserve"> were also reviewed to determine the negative predictive value (NPV) of having no </w:t>
      </w:r>
      <w:proofErr w:type="spellStart"/>
      <w:r w:rsidRPr="00707A07">
        <w:rPr>
          <w:rFonts w:cs="Calibri"/>
        </w:rPr>
        <w:t>sSS</w:t>
      </w:r>
      <w:proofErr w:type="spellEnd"/>
      <w:r w:rsidRPr="00707A07">
        <w:rPr>
          <w:rFonts w:cs="Calibri"/>
        </w:rPr>
        <w:t xml:space="preserve"> reported at baseline.  The primary outcome was Sharp scores associated with bilateral hand radiographs at baseline.  We conducted </w:t>
      </w:r>
      <w:proofErr w:type="spellStart"/>
      <w:r w:rsidRPr="00707A07">
        <w:rPr>
          <w:rFonts w:cs="Calibri"/>
        </w:rPr>
        <w:t>univariate</w:t>
      </w:r>
      <w:proofErr w:type="spellEnd"/>
      <w:r w:rsidRPr="00707A07">
        <w:rPr>
          <w:rFonts w:cs="Calibri"/>
        </w:rPr>
        <w:t xml:space="preserve"> analyses on potential important clinical variables associated with </w:t>
      </w:r>
      <w:proofErr w:type="spellStart"/>
      <w:r w:rsidRPr="00707A07">
        <w:rPr>
          <w:rFonts w:cs="Calibri"/>
        </w:rPr>
        <w:t>sSS</w:t>
      </w:r>
      <w:proofErr w:type="spellEnd"/>
      <w:r w:rsidRPr="00707A07">
        <w:rPr>
          <w:rFonts w:cs="Calibri"/>
        </w:rPr>
        <w:t xml:space="preserve">, e.g. age, gender, race, ACPA and RF positivity, methotrexate and anti-TNF use at baseline. We constructed a linear regression model to determine the association of </w:t>
      </w:r>
      <w:proofErr w:type="spellStart"/>
      <w:r w:rsidRPr="00707A07">
        <w:rPr>
          <w:rFonts w:cs="Calibri"/>
        </w:rPr>
        <w:t>sSS</w:t>
      </w:r>
      <w:proofErr w:type="spellEnd"/>
      <w:r w:rsidRPr="00707A07">
        <w:rPr>
          <w:rFonts w:cs="Calibri"/>
        </w:rPr>
        <w:t xml:space="preserve"> status and baseline Sharp score, adjusted by age, gender, RA disease duration and variables significant from the </w:t>
      </w:r>
      <w:proofErr w:type="spellStart"/>
      <w:r w:rsidRPr="00707A07">
        <w:rPr>
          <w:rFonts w:cs="Calibri"/>
        </w:rPr>
        <w:t>univariate</w:t>
      </w:r>
      <w:proofErr w:type="spellEnd"/>
      <w:r w:rsidRPr="00707A07">
        <w:rPr>
          <w:rFonts w:cs="Calibri"/>
        </w:rPr>
        <w:t xml:space="preserve"> analyses.  </w:t>
      </w:r>
    </w:p>
    <w:p w:rsidR="00605106" w:rsidRDefault="00605106" w:rsidP="002D38F2">
      <w:pPr>
        <w:spacing w:after="0" w:line="240" w:lineRule="auto"/>
      </w:pPr>
    </w:p>
    <w:p w:rsidR="00605106" w:rsidRPr="00104862" w:rsidRDefault="00605106" w:rsidP="002D38F2">
      <w:pPr>
        <w:spacing w:after="0" w:line="240" w:lineRule="auto"/>
        <w:rPr>
          <w:b/>
        </w:rPr>
      </w:pPr>
      <w:r w:rsidRPr="00104862">
        <w:rPr>
          <w:b/>
        </w:rPr>
        <w:t>Results:</w:t>
      </w:r>
    </w:p>
    <w:p w:rsidR="00605106" w:rsidRDefault="00605106" w:rsidP="002D38F2">
      <w:pPr>
        <w:spacing w:after="0" w:line="240" w:lineRule="auto"/>
      </w:pPr>
      <w:r>
        <w:t>We studied 829 RA subjects, mean age 57 years, 83% female, mean RA duratio</w:t>
      </w:r>
      <w:r w:rsidR="007E384D">
        <w:t>n 13 years, 63% ACPA positive; f</w:t>
      </w:r>
      <w:r>
        <w:t xml:space="preserve">ifty-seven subjects (7%) had </w:t>
      </w:r>
      <w:proofErr w:type="spellStart"/>
      <w:r>
        <w:t>sSS</w:t>
      </w:r>
      <w:proofErr w:type="spellEnd"/>
      <w:r>
        <w:t xml:space="preserve"> (the NPV of not having </w:t>
      </w:r>
      <w:proofErr w:type="spellStart"/>
      <w:r>
        <w:t>sSS</w:t>
      </w:r>
      <w:proofErr w:type="spellEnd"/>
      <w:r>
        <w:t xml:space="preserve"> if not reported at baseline was 100%).   We observed a female predominance of </w:t>
      </w:r>
      <w:proofErr w:type="spellStart"/>
      <w:r>
        <w:t>sSS</w:t>
      </w:r>
      <w:proofErr w:type="spellEnd"/>
      <w:r>
        <w:t xml:space="preserve">, a significantly higher percentage of blacks, and higher DAS28-CRP at baseline among subjects with </w:t>
      </w:r>
      <w:proofErr w:type="spellStart"/>
      <w:r>
        <w:t>sSS</w:t>
      </w:r>
      <w:proofErr w:type="spellEnd"/>
      <w:r>
        <w:t xml:space="preserve"> (Table 1).  Having </w:t>
      </w:r>
      <w:proofErr w:type="spellStart"/>
      <w:r>
        <w:t>sSS</w:t>
      </w:r>
      <w:proofErr w:type="spellEnd"/>
      <w:r>
        <w:t xml:space="preserve"> at baseline was significantly associated with higher Sharp scores (p=0.01), adjusted for age, gender, disease duration and variables </w:t>
      </w:r>
      <w:proofErr w:type="gramStart"/>
      <w:r>
        <w:t>significant</w:t>
      </w:r>
      <w:proofErr w:type="gramEnd"/>
      <w:r>
        <w:t xml:space="preserve"> from the </w:t>
      </w:r>
      <w:proofErr w:type="spellStart"/>
      <w:r>
        <w:t>univariate</w:t>
      </w:r>
      <w:proofErr w:type="spellEnd"/>
      <w:r>
        <w:t xml:space="preserve"> analyses (Table 2).  </w:t>
      </w:r>
    </w:p>
    <w:p w:rsidR="00605106" w:rsidRDefault="00605106" w:rsidP="002D38F2">
      <w:pPr>
        <w:spacing w:after="0" w:line="240" w:lineRule="auto"/>
      </w:pPr>
    </w:p>
    <w:p w:rsidR="00605106" w:rsidRPr="00104862" w:rsidRDefault="00605106" w:rsidP="002D38F2">
      <w:pPr>
        <w:spacing w:after="0" w:line="240" w:lineRule="auto"/>
        <w:rPr>
          <w:b/>
        </w:rPr>
      </w:pPr>
      <w:r w:rsidRPr="00104862">
        <w:rPr>
          <w:b/>
        </w:rPr>
        <w:t>Conclusions:</w:t>
      </w:r>
    </w:p>
    <w:p w:rsidR="00605106" w:rsidRDefault="00605106" w:rsidP="002D38F2">
      <w:pPr>
        <w:spacing w:after="0" w:line="240" w:lineRule="auto"/>
      </w:pPr>
      <w:r>
        <w:t xml:space="preserve">In our RA cohort, </w:t>
      </w:r>
      <w:proofErr w:type="spellStart"/>
      <w:r>
        <w:t>sSS</w:t>
      </w:r>
      <w:proofErr w:type="spellEnd"/>
      <w:r>
        <w:t xml:space="preserve"> affected a significantly higher proportion of women and African-Americans than </w:t>
      </w:r>
      <w:proofErr w:type="gramStart"/>
      <w:r>
        <w:t>the</w:t>
      </w:r>
      <w:proofErr w:type="gramEnd"/>
      <w:r>
        <w:t xml:space="preserve"> overall cohort.  Joint damage measured by Sharp scores was significantly worse in subjects with </w:t>
      </w:r>
      <w:proofErr w:type="spellStart"/>
      <w:r>
        <w:t>sSS</w:t>
      </w:r>
      <w:proofErr w:type="spellEnd"/>
      <w:r>
        <w:t xml:space="preserve">, suggesting that aggressive therapy should be considered in RA patients with </w:t>
      </w:r>
      <w:proofErr w:type="spellStart"/>
      <w:r>
        <w:t>sSS</w:t>
      </w:r>
      <w:proofErr w:type="spellEnd"/>
      <w:r>
        <w:t>.</w:t>
      </w:r>
    </w:p>
    <w:p w:rsidR="00605106" w:rsidRDefault="00605106" w:rsidP="002D38F2">
      <w:pPr>
        <w:spacing w:after="0" w:line="240" w:lineRule="auto"/>
      </w:pPr>
    </w:p>
    <w:p w:rsidR="00605106" w:rsidRDefault="00605106" w:rsidP="002D38F2">
      <w:pPr>
        <w:spacing w:after="0" w:line="240" w:lineRule="auto"/>
      </w:pPr>
      <w:r>
        <w:t>Word limit: 2750- 250 (Table) -250 (Table) =2250</w:t>
      </w:r>
    </w:p>
    <w:p w:rsidR="00605106" w:rsidRDefault="00605106" w:rsidP="002D38F2">
      <w:pPr>
        <w:spacing w:after="0" w:line="240" w:lineRule="auto"/>
      </w:pPr>
      <w:r>
        <w:br w:type="page"/>
      </w:r>
    </w:p>
    <w:p w:rsidR="00605106" w:rsidRDefault="00605106" w:rsidP="00EE6D67">
      <w:pPr>
        <w:spacing w:after="0" w:line="240" w:lineRule="auto"/>
      </w:pPr>
    </w:p>
    <w:p w:rsidR="00605106" w:rsidRDefault="00605106" w:rsidP="00CB529C">
      <w:pPr>
        <w:spacing w:after="0" w:line="240" w:lineRule="auto"/>
      </w:pPr>
      <w:proofErr w:type="gramStart"/>
      <w:r w:rsidRPr="00104862">
        <w:rPr>
          <w:b/>
        </w:rPr>
        <w:t>Table 1.</w:t>
      </w:r>
      <w:proofErr w:type="gramEnd"/>
      <w:r>
        <w:t xml:space="preserve">  Clinical characteristics of subjects with Secondary </w:t>
      </w:r>
      <w:proofErr w:type="spellStart"/>
      <w:proofErr w:type="gramStart"/>
      <w:r>
        <w:t>Sjogren’s</w:t>
      </w:r>
      <w:proofErr w:type="spellEnd"/>
      <w:r>
        <w:t xml:space="preserve"> Syndrome</w:t>
      </w:r>
      <w:proofErr w:type="gramEnd"/>
      <w:r>
        <w:t xml:space="preserve"> (</w:t>
      </w:r>
      <w:proofErr w:type="spellStart"/>
      <w:r>
        <w:t>sSS</w:t>
      </w:r>
      <w:proofErr w:type="spellEnd"/>
      <w:r>
        <w:t>) in the RA cohort (n=829)</w:t>
      </w:r>
      <w:r w:rsidR="00AC6B21">
        <w:t>.</w:t>
      </w:r>
    </w:p>
    <w:p w:rsidR="00605106" w:rsidRDefault="00605106" w:rsidP="00AC6B21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8"/>
        <w:gridCol w:w="1890"/>
        <w:gridCol w:w="1800"/>
        <w:gridCol w:w="2070"/>
      </w:tblGrid>
      <w:tr w:rsidR="00605106" w:rsidRPr="00E51ACF" w:rsidTr="00AC6B21">
        <w:tc>
          <w:tcPr>
            <w:tcW w:w="3438" w:type="dxa"/>
          </w:tcPr>
          <w:p w:rsidR="00605106" w:rsidRPr="00E51ACF" w:rsidRDefault="00605106" w:rsidP="00AC6B21">
            <w:pPr>
              <w:spacing w:after="0" w:line="360" w:lineRule="auto"/>
              <w:rPr>
                <w:b/>
              </w:rPr>
            </w:pPr>
            <w:r w:rsidRPr="00E51ACF">
              <w:rPr>
                <w:b/>
              </w:rPr>
              <w:t>Clinical characteristics</w:t>
            </w:r>
          </w:p>
        </w:tc>
        <w:tc>
          <w:tcPr>
            <w:tcW w:w="1890" w:type="dxa"/>
          </w:tcPr>
          <w:p w:rsidR="00AC6B21" w:rsidRDefault="00E51ACF" w:rsidP="00AC6B21">
            <w:pPr>
              <w:spacing w:after="0"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sSS</w:t>
            </w:r>
            <w:proofErr w:type="spellEnd"/>
            <w:r>
              <w:rPr>
                <w:b/>
              </w:rPr>
              <w:t xml:space="preserve">, </w:t>
            </w:r>
            <w:r w:rsidR="00605106" w:rsidRPr="00E51ACF">
              <w:rPr>
                <w:b/>
              </w:rPr>
              <w:t>n=57</w:t>
            </w:r>
            <w:r>
              <w:rPr>
                <w:b/>
              </w:rPr>
              <w:t xml:space="preserve"> </w:t>
            </w:r>
          </w:p>
          <w:p w:rsidR="00605106" w:rsidRPr="00E51ACF" w:rsidRDefault="00E51ACF" w:rsidP="00AC6B2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C6B21">
              <w:rPr>
                <w:b/>
              </w:rPr>
              <w:t>6.9%)</w:t>
            </w:r>
          </w:p>
        </w:tc>
        <w:tc>
          <w:tcPr>
            <w:tcW w:w="1800" w:type="dxa"/>
          </w:tcPr>
          <w:p w:rsidR="00605106" w:rsidRPr="00E51ACF" w:rsidRDefault="00AC6B21" w:rsidP="00AC6B2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sSS</w:t>
            </w:r>
            <w:proofErr w:type="spellEnd"/>
            <w:r>
              <w:rPr>
                <w:b/>
              </w:rPr>
              <w:t>, n=772 (93.1%)</w:t>
            </w:r>
          </w:p>
        </w:tc>
        <w:tc>
          <w:tcPr>
            <w:tcW w:w="2070" w:type="dxa"/>
          </w:tcPr>
          <w:p w:rsidR="00605106" w:rsidRPr="00E51ACF" w:rsidRDefault="00605106" w:rsidP="00AC6B21">
            <w:pPr>
              <w:spacing w:after="0" w:line="360" w:lineRule="auto"/>
              <w:jc w:val="center"/>
              <w:rPr>
                <w:b/>
              </w:rPr>
            </w:pPr>
            <w:r w:rsidRPr="00E51ACF">
              <w:rPr>
                <w:b/>
              </w:rPr>
              <w:t>p-value</w:t>
            </w:r>
          </w:p>
        </w:tc>
      </w:tr>
      <w:tr w:rsidR="00605106" w:rsidRPr="00095C56" w:rsidTr="00AC6B21">
        <w:tc>
          <w:tcPr>
            <w:tcW w:w="3438" w:type="dxa"/>
          </w:tcPr>
          <w:p w:rsidR="00605106" w:rsidRPr="00095C56" w:rsidRDefault="00605106" w:rsidP="00AC6B21">
            <w:pPr>
              <w:spacing w:after="0" w:line="360" w:lineRule="auto"/>
            </w:pPr>
            <w:r w:rsidRPr="00095C56">
              <w:t>Age, mean yrs (SD)</w:t>
            </w:r>
          </w:p>
        </w:tc>
        <w:tc>
          <w:tcPr>
            <w:tcW w:w="189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57.2</w:t>
            </w:r>
            <w:r w:rsidR="00D12974">
              <w:t xml:space="preserve"> (10.5)</w:t>
            </w:r>
          </w:p>
        </w:tc>
        <w:tc>
          <w:tcPr>
            <w:tcW w:w="180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56.9</w:t>
            </w:r>
            <w:r w:rsidR="00D12974">
              <w:t xml:space="preserve"> (13.7)</w:t>
            </w:r>
          </w:p>
        </w:tc>
        <w:tc>
          <w:tcPr>
            <w:tcW w:w="207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0.869</w:t>
            </w:r>
          </w:p>
        </w:tc>
      </w:tr>
      <w:tr w:rsidR="00605106" w:rsidRPr="00095C56" w:rsidTr="00AC6B21">
        <w:tc>
          <w:tcPr>
            <w:tcW w:w="3438" w:type="dxa"/>
          </w:tcPr>
          <w:p w:rsidR="00605106" w:rsidRPr="00095C56" w:rsidRDefault="00605106" w:rsidP="00AC6B21">
            <w:pPr>
              <w:spacing w:after="0" w:line="360" w:lineRule="auto"/>
            </w:pPr>
            <w:r w:rsidRPr="00095C56">
              <w:t>Female gender (%)</w:t>
            </w:r>
          </w:p>
        </w:tc>
        <w:tc>
          <w:tcPr>
            <w:tcW w:w="189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98</w:t>
            </w:r>
            <w:r w:rsidR="00FA053F">
              <w:t>.3</w:t>
            </w:r>
          </w:p>
        </w:tc>
        <w:tc>
          <w:tcPr>
            <w:tcW w:w="180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81</w:t>
            </w:r>
            <w:r w:rsidR="00FA053F">
              <w:t>.4</w:t>
            </w:r>
          </w:p>
        </w:tc>
        <w:tc>
          <w:tcPr>
            <w:tcW w:w="207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0.001</w:t>
            </w:r>
          </w:p>
        </w:tc>
      </w:tr>
      <w:tr w:rsidR="00605106" w:rsidRPr="00095C56" w:rsidTr="00AC6B21">
        <w:tc>
          <w:tcPr>
            <w:tcW w:w="3438" w:type="dxa"/>
          </w:tcPr>
          <w:p w:rsidR="00605106" w:rsidRPr="00095C56" w:rsidRDefault="00605106" w:rsidP="00AC6B21">
            <w:pPr>
              <w:spacing w:after="0" w:line="360" w:lineRule="auto"/>
            </w:pPr>
            <w:r w:rsidRPr="00095C56">
              <w:t>Disease duration, mean yrs (SD)</w:t>
            </w:r>
          </w:p>
        </w:tc>
        <w:tc>
          <w:tcPr>
            <w:tcW w:w="1890" w:type="dxa"/>
          </w:tcPr>
          <w:p w:rsidR="00605106" w:rsidRPr="00095C56" w:rsidRDefault="00D12974" w:rsidP="00AC6B21">
            <w:pPr>
              <w:spacing w:after="0" w:line="360" w:lineRule="auto"/>
              <w:jc w:val="center"/>
            </w:pPr>
            <w:r>
              <w:t>16.1 (10.8)</w:t>
            </w:r>
          </w:p>
        </w:tc>
        <w:tc>
          <w:tcPr>
            <w:tcW w:w="1800" w:type="dxa"/>
          </w:tcPr>
          <w:p w:rsidR="00605106" w:rsidRPr="00095C56" w:rsidRDefault="00D12974" w:rsidP="00AC6B21">
            <w:pPr>
              <w:spacing w:after="0" w:line="360" w:lineRule="auto"/>
              <w:jc w:val="center"/>
            </w:pPr>
            <w:r>
              <w:t>13.5 (12.4)</w:t>
            </w:r>
          </w:p>
        </w:tc>
        <w:tc>
          <w:tcPr>
            <w:tcW w:w="207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0.13</w:t>
            </w:r>
          </w:p>
        </w:tc>
      </w:tr>
      <w:tr w:rsidR="00605106" w:rsidRPr="00095C56" w:rsidTr="00AC6B21">
        <w:tc>
          <w:tcPr>
            <w:tcW w:w="3438" w:type="dxa"/>
          </w:tcPr>
          <w:p w:rsidR="00605106" w:rsidRPr="00095C56" w:rsidRDefault="00605106" w:rsidP="00AC6B21">
            <w:pPr>
              <w:spacing w:after="0" w:line="360" w:lineRule="auto"/>
            </w:pPr>
            <w:r w:rsidRPr="00095C56">
              <w:t>Race</w:t>
            </w:r>
            <w:r w:rsidR="00FA053F">
              <w:t xml:space="preserve"> (%)</w:t>
            </w:r>
          </w:p>
        </w:tc>
        <w:tc>
          <w:tcPr>
            <w:tcW w:w="189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</w:p>
        </w:tc>
        <w:tc>
          <w:tcPr>
            <w:tcW w:w="180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</w:p>
        </w:tc>
        <w:tc>
          <w:tcPr>
            <w:tcW w:w="207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</w:p>
        </w:tc>
      </w:tr>
      <w:tr w:rsidR="00605106" w:rsidRPr="00095C56" w:rsidTr="00AC6B21">
        <w:tc>
          <w:tcPr>
            <w:tcW w:w="3438" w:type="dxa"/>
          </w:tcPr>
          <w:p w:rsidR="00605106" w:rsidRPr="00095C56" w:rsidRDefault="00605106" w:rsidP="00AC6B21">
            <w:pPr>
              <w:spacing w:after="0" w:line="360" w:lineRule="auto"/>
            </w:pPr>
            <w:r w:rsidRPr="00095C56">
              <w:t xml:space="preserve">   Caucasian</w:t>
            </w:r>
          </w:p>
        </w:tc>
        <w:tc>
          <w:tcPr>
            <w:tcW w:w="189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84</w:t>
            </w:r>
            <w:r w:rsidR="00FA053F">
              <w:t>.2</w:t>
            </w:r>
          </w:p>
        </w:tc>
        <w:tc>
          <w:tcPr>
            <w:tcW w:w="180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93</w:t>
            </w:r>
            <w:r w:rsidR="00FA053F">
              <w:t>.7</w:t>
            </w:r>
          </w:p>
        </w:tc>
        <w:tc>
          <w:tcPr>
            <w:tcW w:w="207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0.004</w:t>
            </w:r>
          </w:p>
        </w:tc>
      </w:tr>
      <w:tr w:rsidR="00605106" w:rsidRPr="00095C56" w:rsidTr="00AC6B21">
        <w:tc>
          <w:tcPr>
            <w:tcW w:w="3438" w:type="dxa"/>
          </w:tcPr>
          <w:p w:rsidR="00605106" w:rsidRPr="00095C56" w:rsidRDefault="00605106" w:rsidP="00AC6B21">
            <w:pPr>
              <w:spacing w:after="0" w:line="360" w:lineRule="auto"/>
            </w:pPr>
            <w:r w:rsidRPr="00095C56">
              <w:t xml:space="preserve">   African American</w:t>
            </w:r>
          </w:p>
        </w:tc>
        <w:tc>
          <w:tcPr>
            <w:tcW w:w="1890" w:type="dxa"/>
          </w:tcPr>
          <w:p w:rsidR="00605106" w:rsidRPr="00095C56" w:rsidRDefault="00FA053F" w:rsidP="00AC6B21">
            <w:pPr>
              <w:spacing w:after="0" w:line="360" w:lineRule="auto"/>
              <w:jc w:val="center"/>
            </w:pPr>
            <w:r>
              <w:t>10.5</w:t>
            </w:r>
          </w:p>
        </w:tc>
        <w:tc>
          <w:tcPr>
            <w:tcW w:w="1800" w:type="dxa"/>
          </w:tcPr>
          <w:p w:rsidR="00605106" w:rsidRPr="00095C56" w:rsidRDefault="00FA053F" w:rsidP="00AC6B21">
            <w:pPr>
              <w:spacing w:after="0" w:line="360" w:lineRule="auto"/>
              <w:jc w:val="center"/>
            </w:pPr>
            <w:r>
              <w:t>3.8</w:t>
            </w:r>
          </w:p>
        </w:tc>
        <w:tc>
          <w:tcPr>
            <w:tcW w:w="207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0.0</w:t>
            </w:r>
            <w:r w:rsidR="00D12974">
              <w:t>2</w:t>
            </w:r>
          </w:p>
        </w:tc>
      </w:tr>
      <w:tr w:rsidR="00605106" w:rsidRPr="00095C56" w:rsidTr="00AC6B21">
        <w:tc>
          <w:tcPr>
            <w:tcW w:w="3438" w:type="dxa"/>
          </w:tcPr>
          <w:p w:rsidR="00605106" w:rsidRPr="00095C56" w:rsidRDefault="00AC6B21" w:rsidP="00AC6B21">
            <w:pPr>
              <w:spacing w:after="0" w:line="360" w:lineRule="auto"/>
            </w:pPr>
            <w:r>
              <w:t>ACPA positive (%)</w:t>
            </w:r>
          </w:p>
        </w:tc>
        <w:tc>
          <w:tcPr>
            <w:tcW w:w="189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70</w:t>
            </w:r>
            <w:r w:rsidR="00FA053F">
              <w:t>.4</w:t>
            </w:r>
          </w:p>
        </w:tc>
        <w:tc>
          <w:tcPr>
            <w:tcW w:w="180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6</w:t>
            </w:r>
            <w:r w:rsidR="00FA053F">
              <w:t>1.7</w:t>
            </w:r>
          </w:p>
        </w:tc>
        <w:tc>
          <w:tcPr>
            <w:tcW w:w="207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0.20</w:t>
            </w:r>
          </w:p>
        </w:tc>
      </w:tr>
      <w:tr w:rsidR="00605106" w:rsidRPr="00095C56" w:rsidTr="00AC6B21">
        <w:tc>
          <w:tcPr>
            <w:tcW w:w="3438" w:type="dxa"/>
          </w:tcPr>
          <w:p w:rsidR="00605106" w:rsidRPr="00095C56" w:rsidRDefault="00AC6B21" w:rsidP="00AC6B21">
            <w:pPr>
              <w:spacing w:after="0" w:line="360" w:lineRule="auto"/>
            </w:pPr>
            <w:r>
              <w:t>RF positive (%)</w:t>
            </w:r>
          </w:p>
        </w:tc>
        <w:tc>
          <w:tcPr>
            <w:tcW w:w="189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80</w:t>
            </w:r>
            <w:r w:rsidR="00FA053F">
              <w:t>.0</w:t>
            </w:r>
          </w:p>
        </w:tc>
        <w:tc>
          <w:tcPr>
            <w:tcW w:w="180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62</w:t>
            </w:r>
            <w:r w:rsidR="00FA053F">
              <w:t>.1</w:t>
            </w:r>
          </w:p>
        </w:tc>
        <w:tc>
          <w:tcPr>
            <w:tcW w:w="207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0.008</w:t>
            </w:r>
          </w:p>
        </w:tc>
      </w:tr>
      <w:tr w:rsidR="00605106" w:rsidRPr="00095C56" w:rsidTr="00AC6B21">
        <w:tc>
          <w:tcPr>
            <w:tcW w:w="3438" w:type="dxa"/>
          </w:tcPr>
          <w:p w:rsidR="00605106" w:rsidRPr="00095C56" w:rsidRDefault="00605106" w:rsidP="00AC6B21">
            <w:pPr>
              <w:spacing w:after="0" w:line="360" w:lineRule="auto"/>
            </w:pPr>
            <w:r w:rsidRPr="00095C56">
              <w:t>Baseline DAS28-CRP</w:t>
            </w:r>
            <w:r w:rsidR="00FD4460">
              <w:t>, mean (SD)</w:t>
            </w:r>
          </w:p>
        </w:tc>
        <w:tc>
          <w:tcPr>
            <w:tcW w:w="189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4.</w:t>
            </w:r>
            <w:r w:rsidR="00FA053F">
              <w:t>36</w:t>
            </w:r>
            <w:r w:rsidR="00D12974">
              <w:t xml:space="preserve"> (1.7)</w:t>
            </w:r>
          </w:p>
        </w:tc>
        <w:tc>
          <w:tcPr>
            <w:tcW w:w="180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3.89</w:t>
            </w:r>
            <w:r w:rsidR="00D12974">
              <w:t xml:space="preserve"> (1.6)</w:t>
            </w:r>
          </w:p>
        </w:tc>
        <w:tc>
          <w:tcPr>
            <w:tcW w:w="207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0.03</w:t>
            </w:r>
          </w:p>
        </w:tc>
      </w:tr>
      <w:tr w:rsidR="00605106" w:rsidRPr="00095C56" w:rsidTr="00AC6B21">
        <w:tc>
          <w:tcPr>
            <w:tcW w:w="3438" w:type="dxa"/>
          </w:tcPr>
          <w:p w:rsidR="00605106" w:rsidRPr="00095C56" w:rsidRDefault="00605106" w:rsidP="00AC6B21">
            <w:pPr>
              <w:spacing w:after="0" w:line="360" w:lineRule="auto"/>
            </w:pPr>
            <w:r w:rsidRPr="00095C56">
              <w:t>Baseline Sharp score, median (IQR)</w:t>
            </w:r>
          </w:p>
        </w:tc>
        <w:tc>
          <w:tcPr>
            <w:tcW w:w="189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48.0 (82.0)</w:t>
            </w:r>
          </w:p>
        </w:tc>
        <w:tc>
          <w:tcPr>
            <w:tcW w:w="180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17.0 (61.0)</w:t>
            </w:r>
          </w:p>
        </w:tc>
        <w:tc>
          <w:tcPr>
            <w:tcW w:w="207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0.002</w:t>
            </w:r>
          </w:p>
        </w:tc>
      </w:tr>
      <w:tr w:rsidR="00605106" w:rsidRPr="00095C56" w:rsidTr="00AC6B21">
        <w:tc>
          <w:tcPr>
            <w:tcW w:w="3438" w:type="dxa"/>
          </w:tcPr>
          <w:p w:rsidR="00605106" w:rsidRPr="00095C56" w:rsidRDefault="00605106" w:rsidP="00AC6B21">
            <w:pPr>
              <w:spacing w:after="0" w:line="360" w:lineRule="auto"/>
            </w:pPr>
            <w:r w:rsidRPr="00095C56">
              <w:t>Anti-TNF at baseline, %</w:t>
            </w:r>
          </w:p>
        </w:tc>
        <w:tc>
          <w:tcPr>
            <w:tcW w:w="1890" w:type="dxa"/>
          </w:tcPr>
          <w:p w:rsidR="00605106" w:rsidRPr="00095C56" w:rsidRDefault="00FA053F" w:rsidP="00AC6B21">
            <w:pPr>
              <w:spacing w:after="0" w:line="360" w:lineRule="auto"/>
              <w:jc w:val="center"/>
            </w:pPr>
            <w:r>
              <w:t>45.6</w:t>
            </w:r>
          </w:p>
        </w:tc>
        <w:tc>
          <w:tcPr>
            <w:tcW w:w="1800" w:type="dxa"/>
          </w:tcPr>
          <w:p w:rsidR="00605106" w:rsidRPr="00095C56" w:rsidRDefault="00FA053F" w:rsidP="00AC6B21">
            <w:pPr>
              <w:spacing w:after="0" w:line="360" w:lineRule="auto"/>
              <w:jc w:val="center"/>
            </w:pPr>
            <w:r>
              <w:t>35.8</w:t>
            </w:r>
          </w:p>
        </w:tc>
        <w:tc>
          <w:tcPr>
            <w:tcW w:w="207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0.1</w:t>
            </w:r>
            <w:r w:rsidR="00E51ACF">
              <w:t>4</w:t>
            </w:r>
          </w:p>
        </w:tc>
      </w:tr>
      <w:tr w:rsidR="00605106" w:rsidRPr="00095C56" w:rsidTr="00AC6B21">
        <w:tc>
          <w:tcPr>
            <w:tcW w:w="3438" w:type="dxa"/>
          </w:tcPr>
          <w:p w:rsidR="00605106" w:rsidRPr="00095C56" w:rsidRDefault="00605106" w:rsidP="00AC6B21">
            <w:pPr>
              <w:spacing w:after="0" w:line="360" w:lineRule="auto"/>
            </w:pPr>
            <w:r w:rsidRPr="00095C56">
              <w:t>MTX at baseline, %</w:t>
            </w:r>
          </w:p>
        </w:tc>
        <w:tc>
          <w:tcPr>
            <w:tcW w:w="189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5</w:t>
            </w:r>
            <w:r w:rsidR="00FA053F">
              <w:t>7.9</w:t>
            </w:r>
          </w:p>
        </w:tc>
        <w:tc>
          <w:tcPr>
            <w:tcW w:w="1800" w:type="dxa"/>
          </w:tcPr>
          <w:p w:rsidR="00605106" w:rsidRPr="00095C56" w:rsidRDefault="00FA053F" w:rsidP="00AC6B21">
            <w:pPr>
              <w:spacing w:after="0" w:line="360" w:lineRule="auto"/>
              <w:jc w:val="center"/>
            </w:pPr>
            <w:r>
              <w:t>46.3</w:t>
            </w:r>
          </w:p>
        </w:tc>
        <w:tc>
          <w:tcPr>
            <w:tcW w:w="207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0.10</w:t>
            </w:r>
          </w:p>
        </w:tc>
      </w:tr>
    </w:tbl>
    <w:p w:rsidR="00605106" w:rsidRDefault="00605106" w:rsidP="00AC6B21">
      <w:pPr>
        <w:spacing w:after="0" w:line="360" w:lineRule="auto"/>
      </w:pPr>
    </w:p>
    <w:p w:rsidR="00605106" w:rsidRDefault="00605106" w:rsidP="00CB529C">
      <w:pPr>
        <w:spacing w:after="0" w:line="240" w:lineRule="auto"/>
      </w:pPr>
    </w:p>
    <w:p w:rsidR="00605106" w:rsidRDefault="00605106" w:rsidP="00CB529C">
      <w:pPr>
        <w:spacing w:after="0" w:line="240" w:lineRule="auto"/>
      </w:pPr>
      <w:proofErr w:type="gramStart"/>
      <w:r w:rsidRPr="00104862">
        <w:rPr>
          <w:b/>
        </w:rPr>
        <w:t>Table 2.</w:t>
      </w:r>
      <w:proofErr w:type="gramEnd"/>
      <w:r>
        <w:t xml:space="preserve">  </w:t>
      </w:r>
      <w:proofErr w:type="gramStart"/>
      <w:r>
        <w:t xml:space="preserve">Association between baseline </w:t>
      </w:r>
      <w:proofErr w:type="spellStart"/>
      <w:r>
        <w:t>sSS</w:t>
      </w:r>
      <w:proofErr w:type="spellEnd"/>
      <w:r>
        <w:t xml:space="preserve"> and baseline Sharp scores*.</w:t>
      </w:r>
      <w:proofErr w:type="gramEnd"/>
    </w:p>
    <w:p w:rsidR="00605106" w:rsidRDefault="00605106" w:rsidP="00CB529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2136"/>
        <w:gridCol w:w="1350"/>
      </w:tblGrid>
      <w:tr w:rsidR="00605106" w:rsidRPr="00E51ACF" w:rsidTr="00095C56">
        <w:tc>
          <w:tcPr>
            <w:tcW w:w="3192" w:type="dxa"/>
          </w:tcPr>
          <w:p w:rsidR="00605106" w:rsidRPr="00E51ACF" w:rsidRDefault="00605106" w:rsidP="00AC6B21">
            <w:pPr>
              <w:spacing w:after="0" w:line="360" w:lineRule="auto"/>
              <w:rPr>
                <w:b/>
              </w:rPr>
            </w:pPr>
            <w:r w:rsidRPr="00E51ACF">
              <w:rPr>
                <w:b/>
              </w:rPr>
              <w:t>Clinical variable</w:t>
            </w:r>
          </w:p>
        </w:tc>
        <w:tc>
          <w:tcPr>
            <w:tcW w:w="2136" w:type="dxa"/>
          </w:tcPr>
          <w:p w:rsidR="00605106" w:rsidRPr="00E51ACF" w:rsidRDefault="00605106" w:rsidP="00AC6B21">
            <w:pPr>
              <w:spacing w:after="0" w:line="360" w:lineRule="auto"/>
              <w:jc w:val="center"/>
              <w:rPr>
                <w:b/>
              </w:rPr>
            </w:pPr>
            <w:r w:rsidRPr="00E51ACF">
              <w:rPr>
                <w:b/>
              </w:rPr>
              <w:t>Beta coefficient (SE)</w:t>
            </w:r>
          </w:p>
        </w:tc>
        <w:tc>
          <w:tcPr>
            <w:tcW w:w="1350" w:type="dxa"/>
          </w:tcPr>
          <w:p w:rsidR="00605106" w:rsidRPr="00E51ACF" w:rsidRDefault="00605106" w:rsidP="00AC6B21">
            <w:pPr>
              <w:spacing w:after="0" w:line="360" w:lineRule="auto"/>
              <w:jc w:val="center"/>
              <w:rPr>
                <w:b/>
              </w:rPr>
            </w:pPr>
            <w:r w:rsidRPr="00E51ACF">
              <w:rPr>
                <w:b/>
              </w:rPr>
              <w:t>p-value</w:t>
            </w:r>
          </w:p>
        </w:tc>
      </w:tr>
      <w:tr w:rsidR="00605106" w:rsidRPr="00095C56" w:rsidTr="00095C56">
        <w:tc>
          <w:tcPr>
            <w:tcW w:w="3192" w:type="dxa"/>
          </w:tcPr>
          <w:p w:rsidR="00605106" w:rsidRPr="00095C56" w:rsidRDefault="00605106" w:rsidP="00AC6B21">
            <w:pPr>
              <w:spacing w:after="0" w:line="360" w:lineRule="auto"/>
            </w:pPr>
            <w:r w:rsidRPr="00095C56">
              <w:t>Age</w:t>
            </w:r>
          </w:p>
        </w:tc>
        <w:tc>
          <w:tcPr>
            <w:tcW w:w="2136" w:type="dxa"/>
          </w:tcPr>
          <w:p w:rsidR="00605106" w:rsidRPr="00095C56" w:rsidRDefault="00E51ACF" w:rsidP="00AC6B21">
            <w:pPr>
              <w:spacing w:after="0" w:line="360" w:lineRule="auto"/>
              <w:jc w:val="center"/>
            </w:pPr>
            <w:r>
              <w:t>0.02</w:t>
            </w:r>
            <w:r w:rsidR="00DF3EC5">
              <w:t xml:space="preserve"> (0.007)</w:t>
            </w:r>
          </w:p>
        </w:tc>
        <w:tc>
          <w:tcPr>
            <w:tcW w:w="135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0.18</w:t>
            </w:r>
          </w:p>
        </w:tc>
      </w:tr>
      <w:tr w:rsidR="00605106" w:rsidRPr="00095C56" w:rsidTr="00095C56">
        <w:tc>
          <w:tcPr>
            <w:tcW w:w="3192" w:type="dxa"/>
          </w:tcPr>
          <w:p w:rsidR="00605106" w:rsidRPr="00095C56" w:rsidRDefault="00605106" w:rsidP="00AC6B21">
            <w:pPr>
              <w:spacing w:after="0" w:line="360" w:lineRule="auto"/>
            </w:pPr>
            <w:r w:rsidRPr="00095C56">
              <w:t>Female gender</w:t>
            </w:r>
          </w:p>
        </w:tc>
        <w:tc>
          <w:tcPr>
            <w:tcW w:w="2136" w:type="dxa"/>
          </w:tcPr>
          <w:p w:rsidR="00605106" w:rsidRPr="00095C56" w:rsidRDefault="00E51ACF" w:rsidP="00AC6B21">
            <w:pPr>
              <w:spacing w:after="0" w:line="360" w:lineRule="auto"/>
              <w:jc w:val="center"/>
            </w:pPr>
            <w:r>
              <w:t>-0.13</w:t>
            </w:r>
            <w:r w:rsidR="00DF3EC5">
              <w:t xml:space="preserve"> (0.23)</w:t>
            </w:r>
          </w:p>
        </w:tc>
        <w:tc>
          <w:tcPr>
            <w:tcW w:w="135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0.62</w:t>
            </w:r>
          </w:p>
        </w:tc>
      </w:tr>
      <w:tr w:rsidR="00605106" w:rsidRPr="00095C56" w:rsidTr="00095C56">
        <w:tc>
          <w:tcPr>
            <w:tcW w:w="3192" w:type="dxa"/>
          </w:tcPr>
          <w:p w:rsidR="00605106" w:rsidRPr="00095C56" w:rsidRDefault="00605106" w:rsidP="00AC6B21">
            <w:pPr>
              <w:spacing w:after="0" w:line="360" w:lineRule="auto"/>
            </w:pPr>
            <w:r w:rsidRPr="00095C56">
              <w:t>Disease duration</w:t>
            </w:r>
          </w:p>
        </w:tc>
        <w:tc>
          <w:tcPr>
            <w:tcW w:w="2136" w:type="dxa"/>
          </w:tcPr>
          <w:p w:rsidR="00605106" w:rsidRPr="00095C56" w:rsidRDefault="00E51ACF" w:rsidP="00AC6B21">
            <w:pPr>
              <w:spacing w:after="0" w:line="360" w:lineRule="auto"/>
              <w:jc w:val="center"/>
            </w:pPr>
            <w:r>
              <w:t>0.04</w:t>
            </w:r>
            <w:r w:rsidR="00DF3EC5">
              <w:t xml:space="preserve"> (0.007)</w:t>
            </w:r>
          </w:p>
        </w:tc>
        <w:tc>
          <w:tcPr>
            <w:tcW w:w="135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&lt;.0001</w:t>
            </w:r>
          </w:p>
        </w:tc>
      </w:tr>
      <w:tr w:rsidR="00605106" w:rsidRPr="00095C56" w:rsidTr="00095C56">
        <w:tc>
          <w:tcPr>
            <w:tcW w:w="3192" w:type="dxa"/>
          </w:tcPr>
          <w:p w:rsidR="00605106" w:rsidRPr="00095C56" w:rsidRDefault="00605106" w:rsidP="00AC6B21">
            <w:pPr>
              <w:spacing w:after="0" w:line="360" w:lineRule="auto"/>
            </w:pPr>
            <w:r w:rsidRPr="00095C56">
              <w:t>Black race</w:t>
            </w:r>
          </w:p>
        </w:tc>
        <w:tc>
          <w:tcPr>
            <w:tcW w:w="2136" w:type="dxa"/>
          </w:tcPr>
          <w:p w:rsidR="00605106" w:rsidRPr="00095C56" w:rsidRDefault="00E51ACF" w:rsidP="00AC6B21">
            <w:pPr>
              <w:spacing w:after="0" w:line="360" w:lineRule="auto"/>
              <w:jc w:val="center"/>
            </w:pPr>
            <w:r>
              <w:t>-0.78</w:t>
            </w:r>
            <w:r w:rsidR="00DF3EC5">
              <w:t xml:space="preserve"> (0.32)</w:t>
            </w:r>
          </w:p>
        </w:tc>
        <w:tc>
          <w:tcPr>
            <w:tcW w:w="135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0.02</w:t>
            </w:r>
          </w:p>
        </w:tc>
      </w:tr>
      <w:tr w:rsidR="00605106" w:rsidRPr="00095C56" w:rsidTr="00E51ACF">
        <w:tc>
          <w:tcPr>
            <w:tcW w:w="3192" w:type="dxa"/>
          </w:tcPr>
          <w:p w:rsidR="00605106" w:rsidRPr="00095C56" w:rsidRDefault="00605106" w:rsidP="00AC6B21">
            <w:pPr>
              <w:spacing w:after="0" w:line="360" w:lineRule="auto"/>
            </w:pPr>
            <w:r w:rsidRPr="00095C56">
              <w:t>RF positivity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605106" w:rsidRPr="00095C56" w:rsidRDefault="00E51ACF" w:rsidP="00AC6B21">
            <w:pPr>
              <w:spacing w:after="0" w:line="360" w:lineRule="auto"/>
              <w:jc w:val="center"/>
            </w:pPr>
            <w:r>
              <w:t>0.76</w:t>
            </w:r>
            <w:r w:rsidR="00DF3EC5">
              <w:t xml:space="preserve"> (0.19)</w:t>
            </w:r>
          </w:p>
        </w:tc>
        <w:tc>
          <w:tcPr>
            <w:tcW w:w="1350" w:type="dxa"/>
          </w:tcPr>
          <w:p w:rsidR="00605106" w:rsidRPr="00095C56" w:rsidRDefault="00605106" w:rsidP="00AC6B21">
            <w:pPr>
              <w:spacing w:after="0" w:line="360" w:lineRule="auto"/>
              <w:jc w:val="center"/>
            </w:pPr>
            <w:r>
              <w:t>&lt;.0001</w:t>
            </w:r>
          </w:p>
        </w:tc>
      </w:tr>
      <w:tr w:rsidR="00E51ACF" w:rsidRPr="00E51ACF" w:rsidTr="00095C56">
        <w:tc>
          <w:tcPr>
            <w:tcW w:w="3192" w:type="dxa"/>
          </w:tcPr>
          <w:p w:rsidR="00E51ACF" w:rsidRPr="00E51ACF" w:rsidRDefault="00E51ACF" w:rsidP="00AC6B21">
            <w:pPr>
              <w:spacing w:after="0" w:line="360" w:lineRule="auto"/>
            </w:pPr>
            <w:r w:rsidRPr="00E51ACF">
              <w:t>Baseline DAS28-CRP</w:t>
            </w:r>
          </w:p>
        </w:tc>
        <w:tc>
          <w:tcPr>
            <w:tcW w:w="2136" w:type="dxa"/>
          </w:tcPr>
          <w:p w:rsidR="00E51ACF" w:rsidRPr="00E51ACF" w:rsidRDefault="00E51ACF" w:rsidP="00AC6B21">
            <w:pPr>
              <w:spacing w:after="0" w:line="360" w:lineRule="auto"/>
              <w:jc w:val="center"/>
            </w:pPr>
            <w:r w:rsidRPr="00E51ACF">
              <w:t>0.18</w:t>
            </w:r>
            <w:r w:rsidR="00DF3EC5">
              <w:t xml:space="preserve"> (0.05)</w:t>
            </w:r>
          </w:p>
        </w:tc>
        <w:tc>
          <w:tcPr>
            <w:tcW w:w="1350" w:type="dxa"/>
          </w:tcPr>
          <w:p w:rsidR="00E51ACF" w:rsidRPr="00E51ACF" w:rsidRDefault="00E51ACF" w:rsidP="00AC6B21">
            <w:pPr>
              <w:spacing w:after="0" w:line="360" w:lineRule="auto"/>
              <w:jc w:val="center"/>
            </w:pPr>
            <w:r w:rsidRPr="00E51ACF">
              <w:t>0.0003</w:t>
            </w:r>
          </w:p>
        </w:tc>
      </w:tr>
      <w:tr w:rsidR="00605106" w:rsidRPr="00095C56" w:rsidTr="00095C56">
        <w:tc>
          <w:tcPr>
            <w:tcW w:w="3192" w:type="dxa"/>
          </w:tcPr>
          <w:p w:rsidR="00605106" w:rsidRPr="00095C56" w:rsidRDefault="00605106" w:rsidP="00AC6B21">
            <w:pPr>
              <w:spacing w:after="0" w:line="360" w:lineRule="auto"/>
              <w:rPr>
                <w:b/>
              </w:rPr>
            </w:pPr>
            <w:r w:rsidRPr="00095C56">
              <w:rPr>
                <w:b/>
              </w:rPr>
              <w:t xml:space="preserve">Presence of </w:t>
            </w:r>
            <w:proofErr w:type="spellStart"/>
            <w:r w:rsidRPr="00095C56">
              <w:rPr>
                <w:b/>
              </w:rPr>
              <w:t>sSS</w:t>
            </w:r>
            <w:proofErr w:type="spellEnd"/>
          </w:p>
        </w:tc>
        <w:tc>
          <w:tcPr>
            <w:tcW w:w="2136" w:type="dxa"/>
          </w:tcPr>
          <w:p w:rsidR="00605106" w:rsidRPr="00095C56" w:rsidRDefault="00E51ACF" w:rsidP="00AC6B2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0.43</w:t>
            </w:r>
            <w:r w:rsidR="00DF3EC5">
              <w:rPr>
                <w:b/>
              </w:rPr>
              <w:t xml:space="preserve"> (0.43)</w:t>
            </w:r>
          </w:p>
        </w:tc>
        <w:tc>
          <w:tcPr>
            <w:tcW w:w="1350" w:type="dxa"/>
          </w:tcPr>
          <w:p w:rsidR="00605106" w:rsidRPr="00095C56" w:rsidRDefault="00E51ACF" w:rsidP="00AC6B2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0.01</w:t>
            </w:r>
          </w:p>
        </w:tc>
      </w:tr>
    </w:tbl>
    <w:p w:rsidR="00605106" w:rsidRPr="00917BC8" w:rsidRDefault="00605106" w:rsidP="00CB529C">
      <w:pPr>
        <w:spacing w:after="0" w:line="240" w:lineRule="auto"/>
        <w:rPr>
          <w:rFonts w:cs="Calibri"/>
        </w:rPr>
      </w:pPr>
    </w:p>
    <w:p w:rsidR="00605106" w:rsidRPr="00AC6B21" w:rsidRDefault="00605106" w:rsidP="00CB529C">
      <w:pPr>
        <w:spacing w:after="0" w:line="240" w:lineRule="auto"/>
        <w:rPr>
          <w:rFonts w:cs="Calibri"/>
        </w:rPr>
      </w:pPr>
      <w:r w:rsidRPr="00917BC8">
        <w:rPr>
          <w:rFonts w:cs="Calibri"/>
        </w:rPr>
        <w:t xml:space="preserve">*Sharp scores </w:t>
      </w:r>
      <w:r w:rsidR="00104862">
        <w:rPr>
          <w:rFonts w:cs="Calibri"/>
        </w:rPr>
        <w:t>were non-normally distributed</w:t>
      </w:r>
      <w:r w:rsidRPr="00917BC8">
        <w:rPr>
          <w:rFonts w:cs="Calibri"/>
        </w:rPr>
        <w:t xml:space="preserve"> and were categorized into quintiles (Q1: &lt;1, Q2: ≥1</w:t>
      </w:r>
      <w:r>
        <w:rPr>
          <w:rFonts w:cs="Calibri"/>
        </w:rPr>
        <w:t xml:space="preserve"> and </w:t>
      </w:r>
      <w:r w:rsidRPr="00917BC8">
        <w:rPr>
          <w:rFonts w:cs="Calibri"/>
        </w:rPr>
        <w:t>&lt;10, Q3: ≥10</w:t>
      </w:r>
      <w:r>
        <w:rPr>
          <w:rFonts w:cs="Calibri"/>
        </w:rPr>
        <w:t xml:space="preserve"> and </w:t>
      </w:r>
      <w:r w:rsidRPr="00917BC8">
        <w:rPr>
          <w:rFonts w:cs="Calibri"/>
        </w:rPr>
        <w:t>&lt;32.5, Q4: ≥32.5</w:t>
      </w:r>
      <w:r>
        <w:rPr>
          <w:rFonts w:cs="Calibri"/>
        </w:rPr>
        <w:t xml:space="preserve"> and </w:t>
      </w:r>
      <w:r w:rsidRPr="00917BC8">
        <w:rPr>
          <w:rFonts w:cs="Calibri"/>
        </w:rPr>
        <w:t>&lt;81.5, Q5: ≥81.5</w:t>
      </w:r>
      <w:r w:rsidR="00104862">
        <w:rPr>
          <w:rFonts w:cs="Calibri"/>
        </w:rPr>
        <w:t xml:space="preserve"> units</w:t>
      </w:r>
      <w:r w:rsidRPr="00917BC8">
        <w:rPr>
          <w:rFonts w:cs="Calibri"/>
        </w:rPr>
        <w:t>)</w:t>
      </w:r>
    </w:p>
    <w:sectPr w:rsidR="00605106" w:rsidRPr="00AC6B21" w:rsidSect="006F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B2D"/>
    <w:rsid w:val="00023876"/>
    <w:rsid w:val="00095C56"/>
    <w:rsid w:val="00102221"/>
    <w:rsid w:val="00104862"/>
    <w:rsid w:val="00132B2D"/>
    <w:rsid w:val="0017381A"/>
    <w:rsid w:val="002058CB"/>
    <w:rsid w:val="002C2BE1"/>
    <w:rsid w:val="002D38F2"/>
    <w:rsid w:val="00353033"/>
    <w:rsid w:val="00452323"/>
    <w:rsid w:val="00504B5D"/>
    <w:rsid w:val="005F7CE0"/>
    <w:rsid w:val="00605106"/>
    <w:rsid w:val="00612BB8"/>
    <w:rsid w:val="00654DBF"/>
    <w:rsid w:val="006E4A82"/>
    <w:rsid w:val="006F268B"/>
    <w:rsid w:val="006F5025"/>
    <w:rsid w:val="00707A07"/>
    <w:rsid w:val="00714BE7"/>
    <w:rsid w:val="007B3557"/>
    <w:rsid w:val="007E384D"/>
    <w:rsid w:val="0088095F"/>
    <w:rsid w:val="008839F0"/>
    <w:rsid w:val="00917BC8"/>
    <w:rsid w:val="009A0798"/>
    <w:rsid w:val="009C7BED"/>
    <w:rsid w:val="00A8787D"/>
    <w:rsid w:val="00AC6B21"/>
    <w:rsid w:val="00AD71D3"/>
    <w:rsid w:val="00AE6090"/>
    <w:rsid w:val="00B35CA2"/>
    <w:rsid w:val="00C214AE"/>
    <w:rsid w:val="00C24981"/>
    <w:rsid w:val="00CB529C"/>
    <w:rsid w:val="00CC3EBA"/>
    <w:rsid w:val="00CF6BED"/>
    <w:rsid w:val="00D12974"/>
    <w:rsid w:val="00DC522C"/>
    <w:rsid w:val="00DF3EC5"/>
    <w:rsid w:val="00E51ACF"/>
    <w:rsid w:val="00E93642"/>
    <w:rsid w:val="00EB7714"/>
    <w:rsid w:val="00EE6D67"/>
    <w:rsid w:val="00F476D0"/>
    <w:rsid w:val="00FA053F"/>
    <w:rsid w:val="00FB5EBF"/>
    <w:rsid w:val="00FC4C6E"/>
    <w:rsid w:val="00FD4460"/>
    <w:rsid w:val="00FE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2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07A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7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7A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7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7A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characteristics of RA Rheumatoid Arthritis patients with secondary Sjogren’s Syndrome and association with joint damage</vt:lpstr>
    </vt:vector>
  </TitlesOfParts>
  <Company>Partners HealthCare System, Inc.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characteristics of RA Rheumatoid Arthritis patients with secondary Sjogren’s Syndrome and association with joint damage</dc:title>
  <dc:creator>Partners Information Systems</dc:creator>
  <cp:lastModifiedBy>Partners Information Systems</cp:lastModifiedBy>
  <cp:revision>6</cp:revision>
  <dcterms:created xsi:type="dcterms:W3CDTF">2013-06-17T17:22:00Z</dcterms:created>
  <dcterms:modified xsi:type="dcterms:W3CDTF">2013-06-17T18:14:00Z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-2002282118</vt:i4>
  </property>
  <property fmtid="{D5CDD505-2E9C-101B-9397-08002B2CF9AE}" pid="3" name="_NewReviewCycle">
    <vt:lpwstr/>
  </property>
  <property fmtid="{D5CDD505-2E9C-101B-9397-08002B2CF9AE}" pid="4" name="_EmailSubject">
    <vt:lpwstr>ACR abstract on secondary Sjogren's</vt:lpwstr>
  </property>
  <property fmtid="{D5CDD505-2E9C-101B-9397-08002B2CF9AE}" pid="5" name="_AuthorEmail">
    <vt:lpwstr>KLIAO@PARTNERS.ORG</vt:lpwstr>
  </property>
  <property fmtid="{D5CDD505-2E9C-101B-9397-08002B2CF9AE}" pid="6" name="_AuthorEmailDisplayName">
    <vt:lpwstr>Liao, Katherine P.,M.D.</vt:lpwstr>
  </property>
  <property fmtid="{D5CDD505-2E9C-101B-9397-08002B2CF9AE}" pid="8" name="_PreviousAdHocReviewCycleID">
    <vt:i4>2070926328</vt:i4>
  </property>
</Properties>
</file>